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5E9" w:rsidRDefault="00B70905" w:rsidP="00B70905">
      <w:pPr>
        <w:jc w:val="center"/>
        <w:rPr>
          <w:rFonts w:ascii="Times New Roman" w:hAnsi="Times New Roman" w:cs="Times New Roman"/>
          <w:b/>
        </w:rPr>
      </w:pPr>
      <w:r>
        <w:rPr>
          <w:rFonts w:ascii="Times New Roman" w:hAnsi="Times New Roman" w:cs="Times New Roman"/>
          <w:b/>
        </w:rPr>
        <w:t>L</w:t>
      </w:r>
      <w:r w:rsidRPr="00B70905">
        <w:rPr>
          <w:rFonts w:ascii="Times New Roman" w:hAnsi="Times New Roman" w:cs="Times New Roman"/>
          <w:b/>
        </w:rPr>
        <w:t>ist</w:t>
      </w:r>
      <w:r>
        <w:rPr>
          <w:rFonts w:ascii="Times New Roman" w:hAnsi="Times New Roman" w:cs="Times New Roman"/>
          <w:b/>
        </w:rPr>
        <w:t>a categoriilor de</w:t>
      </w:r>
      <w:r w:rsidRPr="00B70905">
        <w:rPr>
          <w:rFonts w:ascii="Times New Roman" w:hAnsi="Times New Roman" w:cs="Times New Roman"/>
          <w:b/>
        </w:rPr>
        <w:t xml:space="preserve"> </w:t>
      </w:r>
      <w:r>
        <w:rPr>
          <w:rFonts w:ascii="Times New Roman" w:hAnsi="Times New Roman" w:cs="Times New Roman"/>
          <w:b/>
        </w:rPr>
        <w:t xml:space="preserve">mărfuri scutite de taxa vamală, </w:t>
      </w:r>
      <w:r w:rsidRPr="00B70905">
        <w:rPr>
          <w:rFonts w:ascii="Times New Roman" w:hAnsi="Times New Roman" w:cs="Times New Roman"/>
          <w:b/>
        </w:rPr>
        <w:t>prevăzute în Legea nr. 1380/20.11.1</w:t>
      </w:r>
      <w:r>
        <w:rPr>
          <w:rFonts w:ascii="Times New Roman" w:hAnsi="Times New Roman" w:cs="Times New Roman"/>
          <w:b/>
        </w:rPr>
        <w:t>997 cu privire la tariful vamal</w:t>
      </w:r>
      <w:r w:rsidR="004D25E9">
        <w:rPr>
          <w:rFonts w:ascii="Times New Roman" w:hAnsi="Times New Roman" w:cs="Times New Roman"/>
          <w:b/>
        </w:rPr>
        <w:t xml:space="preserve"> </w:t>
      </w:r>
    </w:p>
    <w:p w:rsidR="00B70905" w:rsidRPr="004D25E9" w:rsidRDefault="004D25E9" w:rsidP="004D25E9">
      <w:pPr>
        <w:rPr>
          <w:rFonts w:ascii="Times New Roman" w:hAnsi="Times New Roman" w:cs="Times New Roman"/>
          <w:i/>
          <w:color w:val="365F91" w:themeColor="accent1" w:themeShade="BF"/>
        </w:rPr>
      </w:pPr>
      <w:r w:rsidRPr="004D25E9">
        <w:rPr>
          <w:rFonts w:ascii="Times New Roman" w:hAnsi="Times New Roman" w:cs="Times New Roman"/>
          <w:i/>
          <w:color w:val="365F91" w:themeColor="accent1" w:themeShade="BF"/>
        </w:rPr>
        <w:t>conform modificărilor din LP257 din 16.12.20, MO353-357/22.12.20 art.288; în vigoare 01.01.21</w:t>
      </w:r>
      <w:bookmarkStart w:id="0" w:name="_GoBack"/>
      <w:bookmarkEnd w:id="0"/>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a) mijloacele de transport folosite la transporturi internaţionale de pasageri şi de bagaje, de mărfuri, precum şi obiectele de aprovizionare tehnico-materială, echipamentul, combustibilul, alimentele, necesare pentru exploatarea acestor mijloace de transport în cursul deplasării sau procurate în străinătate în legătură cu lichidarea defecţiunilor, în suma stabilită de actele legislative corespunzătoare;</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 xml:space="preserve">b) mărfurile de uz oficial introduse pe sau scoase de pe teritoriul vamal de către cetăţeni străini, în conformitate cu legislaţia, precum şi cu acordurile internaţionale la care Republica Moldova este parte;  </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c) moneda naţională, valuta străină de la pozițiile tarifare 490700300 și 7118 (cu excepţia celei folosite în scopuri numismatice), precum şi hîrtiile de valoare de la poziția tarifară 490700, în conformitate cu legislaţia;</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d) mărfurile introduse pe sau scoase de pe teritoriul vamal în calitate de ajutor umanitar, destinaţia lor fiind confirmată de organul abilitat;</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e) mărfurile introduse pe sau scoase de pe teritoriul vamal în calitate de ajutor cu titlu gratuit (donaţii) sau în  scopuri filantropice pe linia statului, destinaţia lor fiind confirmată de organul abilitat;</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f) mărfurile introduse provizoriu pe sau scoase provizoriu de pe teritoriul vamal sub supraveghere vamală în cadrul destinaţiilor vamale respective;</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g) mărfurile plasate sub regimurile vamale de tranzit şi antrepozit vamal şi sub destinaţiile vamale de distrugere şi abandon în folosul statului;</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h) mărfurile de uz sau consum personal, importate de către persoanele fizice, a căror valoare sau cantitate nu depăşeşte limita stabilită de legislaţia în vigoare. În cazul în care valoarea în vamă a mărfurilor depăşeşte limita neimpozabilă de 300 de euro pentru mărfurile introduse de călătorii care folosesc transportul terestru sau de 430 de euro pentru mărfurile introduse de călătorii care folosesc transportul aerian sau maritim, taxa vamală se va calcula pornind de la valoarea mărfurilor în vamă, iar limita neimpozabilă menţionată nu micşorează valoarea impozabilă a acesteia;</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h</w:t>
      </w:r>
      <w:r w:rsidRPr="00BA39EF">
        <w:rPr>
          <w:rFonts w:ascii="Times New Roman" w:hAnsi="Times New Roman" w:cs="Times New Roman"/>
          <w:vertAlign w:val="superscript"/>
        </w:rPr>
        <w:t>1</w:t>
      </w:r>
      <w:r w:rsidRPr="00BA39EF">
        <w:rPr>
          <w:rFonts w:ascii="Times New Roman" w:hAnsi="Times New Roman" w:cs="Times New Roman"/>
        </w:rPr>
        <w:t>) mărfurile introduse, în cadrul tranzacțiilor comerciale (B2C – de la business la consumator), prin intermediul trimiterilor poștale internaționale în cazul în care mărfurile nu au caracter comercial, nu depășesc limitele cantitative stabilite de legislație și valoarea intrinsecă a acestora nu depăşeşte suma de 200 de euro per expediere. Mărfuri care nu au caracter comercial sînt mărfurile care, cumulativ, prezintă un caracter ocazional, sînt destinate exclusiv uzului personal al destinatarului sau al familiei sale și care, prin natura sau cantitatea lor, nu sînt destinate activității comerciale sau de producție. În cazul în care mărfurile au caracter comercial, depășesc limitele cantitative stabilite de legislație sau valoarea intrinsecă a acestora depăşeşte limita neimpozabilă de 200 de euro, taxa vamală se calculează pornind de la valoarea mărfurilor în vamă, iar limita neimpozabilă menționată nu micșorează valoarea impozabilă a acestora;</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i) mărfurile autohtone anterior exportate şi reintroduse, în termen de 3 ani, în aceeaşi stare şi produsele compensatoare după perfecţionarea pasivă conform reglementărilor vamale;</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j) producţia de carte şi publicaţiile periodice (cu excepţia celor cu caracter publicitar şi erotic) de la poziţiile tarifare 4901, 4902, 4903 00 000, 4904 00 000 şi 4905, materialele didactice pentru instituţiile preşcolare, de învăţămînt şi curative;</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lastRenderedPageBreak/>
        <w:t>k) mărfurile plasate și comercializate în magazinele duty-free amplasate în zona intrări/plecării și pe teritoriul Republicii Moldova, în barurile și restaurantele duty-free;</w:t>
      </w:r>
    </w:p>
    <w:p w:rsidR="00BA39EF" w:rsidRPr="00BA39EF" w:rsidRDefault="00BA39EF" w:rsidP="00BA39EF">
      <w:pPr>
        <w:jc w:val="both"/>
        <w:rPr>
          <w:rFonts w:ascii="Times New Roman" w:hAnsi="Times New Roman" w:cs="Times New Roman"/>
        </w:rPr>
      </w:pP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l) mărfurile (serviciile) introduse în zona economică liberă de pe restul teritoriului vamal al Republicii Moldova, din afara teritoriului vamal al Republicii Moldova, de pe teritoriul altor zone economice libere, mărfurile (serviciile) exportate în afara teritoriului vamal al Republicii Moldova şi în alte zone economice libere, cu excepția mărfurilor (serviciilor) exportate pentru care se emite sau se întocmește o dovadă de origine în sensul acordurilor de comerț liber, ratificate de Republica Moldova, care prevăd interzicerea restituirii sau a scutirii de taxe vamale, precum şi mărfurile produse în zona economică liberă introduse pe restul teritoriului vamal al Republicii Moldova;</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 xml:space="preserve"> l</w:t>
      </w:r>
      <w:r w:rsidRPr="00BA39EF">
        <w:rPr>
          <w:rFonts w:ascii="Times New Roman" w:hAnsi="Times New Roman" w:cs="Times New Roman"/>
          <w:vertAlign w:val="superscript"/>
        </w:rPr>
        <w:t>1</w:t>
      </w:r>
      <w:r w:rsidRPr="00BA39EF">
        <w:rPr>
          <w:rFonts w:ascii="Times New Roman" w:hAnsi="Times New Roman" w:cs="Times New Roman"/>
        </w:rPr>
        <w:t>) combustibilul destinat aprovizionării în Portul Internaţional Liber Giurgiuleşti a navelor maritime implicate în transportul internaţional de mărfuri şi pasageri, indiferent de naţionalitatea navei sau de pavilionul acesteia;</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 xml:space="preserve"> l</w:t>
      </w:r>
      <w:r w:rsidRPr="00BA39EF">
        <w:rPr>
          <w:rFonts w:ascii="Times New Roman" w:hAnsi="Times New Roman" w:cs="Times New Roman"/>
          <w:vertAlign w:val="superscript"/>
        </w:rPr>
        <w:t>2</w:t>
      </w:r>
      <w:r w:rsidRPr="00BA39EF">
        <w:rPr>
          <w:rFonts w:ascii="Times New Roman" w:hAnsi="Times New Roman" w:cs="Times New Roman"/>
        </w:rPr>
        <w:t>) mărfurile care nu au fost prelucrate suficient în zona economică liberă, introduse pe restul teritoriului vamal al Republicii Moldova, în partea ce se referă la mărfurile străine plasate în zona economică liberă însoțite de o dovadă de origine preferențială și mărfurile autohtone care au fost utilizate pentru producerea mărfurilor care nu au fost prelucrate suficient;</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m) mărfurile plasate în regimul vamal de perfecţionare activă, exceptînd mărfurile supuse accizelor, carnea de bovine, proaspătă sau refrigerată (poziţia tarifară 0201), carnea de bovine congelată (poziţia tarifară 0202), carnea de porcine, proaspătă, refrigerată sau congelată (poziţia tarifară 0203), carnea de ovine sau caprine, proaspătă, refrigerată sau congelată (poziţia tarifară 0204), organele comestibile de bovine, porcine, ovine, caprine, cai, măgari, catîri, asini, proaspete, refrigerate sau congelate (poziţia tarifară 0206), carnea şi organele comestibile ale păsărilor de la poziţia tarifară 0105, proaspete, refrigerate sau congelate (poziţia tarifară 0207), slănină fără carne slabă, grăsimea de porc şi de pasăre, netopită, nici altfel extrasă, proaspătă, refrigerată, congelată, sărată sau în saramură, uscată sau afumată (poziţia tarifară 0209), laptele şi smîntîna din lapte, concentrate sau cu adaos de zahăr sau alţi îndulcitori (edulcoranţi) (poziţia tarifară 0402), feculele de cartofi (poziţia tarifară 1108 13 000), grăsimile de animale din specia bovină, ovină sau caprină, altele decît cele de la poziţia tarifară 1503 (poziţia tarifară 1502) şi zahărul brut (poziţia tarifară ex.1701). Taxa vamală achitată pentru mărfurile plasate în regim vamal de perfecţionare activă, la care se aplică taxa vamală, se restituie, în modul stabilit de Serviciul Vamal, într-un termen ce nu va depăşi 10 zile;</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n) mărfurile importate pe teritoriul Republicii Moldova din contul granturilor acordate Guvernului, destinate realizării proiectelor respective, precum şi din contul granturilor acordate instituţiilor finanţate de la buget, conform listei aprobate de Guvern;</w:t>
      </w:r>
    </w:p>
    <w:p w:rsidR="00BA39EF" w:rsidRPr="00BA39EF" w:rsidRDefault="00BA39EF" w:rsidP="00BA39EF">
      <w:pPr>
        <w:jc w:val="both"/>
        <w:rPr>
          <w:rFonts w:ascii="Times New Roman" w:hAnsi="Times New Roman" w:cs="Times New Roman"/>
          <w:i/>
        </w:rPr>
      </w:pPr>
      <w:r w:rsidRPr="00BA39EF">
        <w:rPr>
          <w:rFonts w:ascii="Times New Roman" w:hAnsi="Times New Roman" w:cs="Times New Roman"/>
          <w:i/>
        </w:rPr>
        <w:t>[Art.28 lit.n) modificată prin LP257 din 16.12.20, MO353-357/22.12.20 art.288; în vigoare 01.01.21]</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n</w:t>
      </w:r>
      <w:r w:rsidRPr="00BA39EF">
        <w:rPr>
          <w:rFonts w:ascii="Times New Roman" w:hAnsi="Times New Roman" w:cs="Times New Roman"/>
          <w:vertAlign w:val="superscript"/>
        </w:rPr>
        <w:t>1</w:t>
      </w:r>
      <w:r w:rsidRPr="00BA39EF">
        <w:rPr>
          <w:rFonts w:ascii="Times New Roman" w:hAnsi="Times New Roman" w:cs="Times New Roman"/>
        </w:rPr>
        <w:t>) mărfurile (serviciile) importate pe teritoriul ţării destinate proiectelor de asistenţă financiară, oferite de către Fondul Global pentru Combaterea HIV/SIDA, Tuberculozei şi Malariei (GFATM) în baza Acordului de grant nr. MOL-809-G05-T şi Acordului de grant nr. MOL-809-G06-H, implementate de Centrul pentru Politici şi Analize în Sănătate (Centrul PAS).</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n</w:t>
      </w:r>
      <w:r w:rsidRPr="00BA39EF">
        <w:rPr>
          <w:rFonts w:ascii="Times New Roman" w:hAnsi="Times New Roman" w:cs="Times New Roman"/>
          <w:vertAlign w:val="superscript"/>
        </w:rPr>
        <w:t>2</w:t>
      </w:r>
      <w:r w:rsidRPr="00BA39EF">
        <w:rPr>
          <w:rFonts w:ascii="Times New Roman" w:hAnsi="Times New Roman" w:cs="Times New Roman"/>
        </w:rPr>
        <w:t xml:space="preserve">) mărfurile (serviciile) importate pe teritoriul ţării, destinate proiectului „Reabilitarea sistemului de tratare a apelor reziduale din Nisporeni”, oferite de către Agenţia de Dezvoltare Cehă în baza Memorandumului încheiat între Agenţia de Dezvoltare Cehă şi Primăria oraşului Nisporeni, semnat la 28 aprilie 2010 la Chişinău, implementat de către Primăria oraşului Nisporeni şi Asociaţia „Sduzeni </w:t>
      </w:r>
      <w:r w:rsidRPr="00BA39EF">
        <w:rPr>
          <w:rFonts w:ascii="Times New Roman" w:hAnsi="Times New Roman" w:cs="Times New Roman"/>
        </w:rPr>
        <w:lastRenderedPageBreak/>
        <w:t>Nisporeni”, care este compusă din „Centrum inovaci a rozvoje o.s. (CIR o.s.)”, „Topol Water s.r.o.” şi „VHS Kubicek s.r.o.”;</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n</w:t>
      </w:r>
      <w:r w:rsidRPr="00BA39EF">
        <w:rPr>
          <w:rFonts w:ascii="Times New Roman" w:hAnsi="Times New Roman" w:cs="Times New Roman"/>
          <w:vertAlign w:val="superscript"/>
        </w:rPr>
        <w:t>3</w:t>
      </w:r>
      <w:r w:rsidRPr="00BA39EF">
        <w:rPr>
          <w:rFonts w:ascii="Times New Roman" w:hAnsi="Times New Roman" w:cs="Times New Roman"/>
        </w:rPr>
        <w:t>) mărfurile destinate proiectelor de asistenţă tehnică realizate pe teritoriul ţării de către organizaţiile internaţionale şi ţările donatoare, în conformitate cu tratatele internaţionale la care Republica Moldova este parte;</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 xml:space="preserve"> n</w:t>
      </w:r>
      <w:r w:rsidRPr="00BA39EF">
        <w:rPr>
          <w:rFonts w:ascii="Times New Roman" w:hAnsi="Times New Roman" w:cs="Times New Roman"/>
          <w:vertAlign w:val="superscript"/>
        </w:rPr>
        <w:t>4</w:t>
      </w:r>
      <w:r w:rsidRPr="00BA39EF">
        <w:rPr>
          <w:rFonts w:ascii="Times New Roman" w:hAnsi="Times New Roman" w:cs="Times New Roman"/>
        </w:rPr>
        <w:t>) mărfurile (serviciile) importate pe teritoriul ţării, destinate proiectului „Reabilitarea străzilor centrale şi modernizarea iluminatului public al centrului municipiului Chişinău”, implementat de către Primăria municipiului Chişinău, finanţat din sursele Băncii Europene de Investiţii, ale Băncii Europene pentru Reconstrucţie şi Dezvoltare şi din Fondul Special pentru Energie Verde al Băncii Europene pentru Reconstrucţie şi Dezvoltare. Modul de aplicare a scutirii de taxa vamală se stabileşte printr-un regulament aprobat de Guvern;</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n</w:t>
      </w:r>
      <w:r w:rsidRPr="00BA39EF">
        <w:rPr>
          <w:rFonts w:ascii="Times New Roman" w:hAnsi="Times New Roman" w:cs="Times New Roman"/>
          <w:vertAlign w:val="superscript"/>
        </w:rPr>
        <w:t>5</w:t>
      </w:r>
      <w:r w:rsidRPr="00BA39EF">
        <w:rPr>
          <w:rFonts w:ascii="Times New Roman" w:hAnsi="Times New Roman" w:cs="Times New Roman"/>
        </w:rPr>
        <w:t>) mărfurile (serviciile) importate pe teritoriul ţării, destinate Programului de Investiţii Prioritare prevăzut de Studiul de Fezabilitate la Programul de alimentare cu apă şi tratare a apelor uzate în municipiul Chişinău, implementat de către S.A. „Apă-Canal Chişinău”, finanţat din sursele Băncii Europene de Investiţii, ale Băncii Europene pentru Reconstrucţie şi Dezvoltare şi din Fondul de Investiţii pentru Vecinătate al Uniunii Europene. Modul de aplicare a scutirii de taxa vamală se stabileşte printr-un regulament aprobat de Guvern;</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o) utilajul, echipamentul şi atributele de gratificaţie primite ca donaţii de Comitetul Naţional Olimpic şi de federaţiile sportive naţionale de profil de la Comitetul Internaţional Olimpic, de la federaţiile sportive europene şi internaţionale de profil pentru pregătirea sportivilor de performanţă şi promovarea mişcării olimpice, fără drept de comercializare a acestui utilaj, echipament şi atribute de gratificaţie;</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o</w:t>
      </w:r>
      <w:r w:rsidRPr="00BA39EF">
        <w:rPr>
          <w:rFonts w:ascii="Times New Roman" w:hAnsi="Times New Roman" w:cs="Times New Roman"/>
          <w:vertAlign w:val="superscript"/>
        </w:rPr>
        <w:t>1</w:t>
      </w:r>
      <w:r w:rsidRPr="00BA39EF">
        <w:rPr>
          <w:rFonts w:ascii="Times New Roman" w:hAnsi="Times New Roman" w:cs="Times New Roman"/>
        </w:rPr>
        <w:t>) mărfurile importate pe teritoriul țării de către parteneri în cadrul proiectului de parteneriat public-privat pentru proiectarea și construcția arenei polivalente de interes național, inclus în lista lucrărilor şi serviciilor de interes public naţional propuse parteneriatului public-privat, aprobată de către Guvern, conform art. 11 lit. a) din Legea nr. 179/2008 cu privire la parteneriatul public-privat, și destinate nemijlocit implementării proiectului respectiv;</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q</w:t>
      </w:r>
      <w:r w:rsidRPr="00BA39EF">
        <w:rPr>
          <w:rFonts w:ascii="Times New Roman" w:hAnsi="Times New Roman" w:cs="Times New Roman"/>
          <w:vertAlign w:val="superscript"/>
        </w:rPr>
        <w:t>1</w:t>
      </w:r>
      <w:r w:rsidRPr="00BA39EF">
        <w:rPr>
          <w:rFonts w:ascii="Times New Roman" w:hAnsi="Times New Roman" w:cs="Times New Roman"/>
        </w:rPr>
        <w:t>) mărfurile introduse în Republica Moldova de către persoane juridice în scopuri necomerciale şi plasate sub regimul vamal de import, a căror valoare intrinsecă nu depăşeşte 100 de euro;</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q</w:t>
      </w:r>
      <w:r w:rsidRPr="00BA39EF">
        <w:rPr>
          <w:rFonts w:ascii="Times New Roman" w:hAnsi="Times New Roman" w:cs="Times New Roman"/>
          <w:vertAlign w:val="superscript"/>
        </w:rPr>
        <w:t>2</w:t>
      </w:r>
      <w:r w:rsidRPr="00BA39EF">
        <w:rPr>
          <w:rFonts w:ascii="Times New Roman" w:hAnsi="Times New Roman" w:cs="Times New Roman"/>
        </w:rPr>
        <w:t>) mijloacele fixe utilizate nemijlocit la fabricarea produselor, la prestarea serviciilor şi/sau executarea lucrărilor, destinate includerii în capitalul statutar (social) în modul şi în termenele prevăzute de legislaţie. Modul de aplicare a facilităţilor fiscale respective se stabileşte de Guvern.</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La mijloacele fixe utilizate nemijlocit la fabricarea produselor, la prestarea serviciilor şi/sau executarea lucrărilor se atribuie mijloacele fixe a căror amortizare se raportează la costul produselor fabricate, serviciilor prestate şi/sau lucrărilor executate.</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Mijloacele fixe care au beneficiat de facilitatea fiscală respectivă nu pot fi înstrăinate, transmise în folosinţă sau posesie (exceptînd locaţiunea bunurilor imobile), atît integral, cît şi părţile componente ale acestora, pe parcursul a 3 ani de la data validării declaraţiei vamale respective, cu excepţia cazului în care aceste mijloace fixe sînt exportate, dacă anterior au fost importate şi nu au suferit modificări în afara amortizării normale. În cazul în care aceste mijloace fixe se înstrăinează, se transmit în folosinţă sau posesie, atît integral, cît şi părţile componente ale acestora, pînă la expirarea a 3 ani, taxa vamală se calculează şi se achită de către persoana juridică în al cărei capital statutar (social) a fost introdus mijlocul fix, pornind de la valoarea în vamă a acestor mijloace fixe la momentul depunerii declaraţiei vamale;</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lastRenderedPageBreak/>
        <w:t>q</w:t>
      </w:r>
      <w:r w:rsidRPr="00BA39EF">
        <w:rPr>
          <w:rFonts w:ascii="Times New Roman" w:hAnsi="Times New Roman" w:cs="Times New Roman"/>
          <w:vertAlign w:val="superscript"/>
        </w:rPr>
        <w:t>3</w:t>
      </w:r>
      <w:r w:rsidRPr="00BA39EF">
        <w:rPr>
          <w:rFonts w:ascii="Times New Roman" w:hAnsi="Times New Roman" w:cs="Times New Roman"/>
        </w:rPr>
        <w:t>) mostrele de mărfuri cu valoarea intrinsecă care nu depăşeşte 22 euro pentru un import. În cazul în care valoarea mostrelor de mărfuri depăşeşte limita neimpozabilă indicată, taxa vamală se calculează pornind de la valoarea în vamă a mostrelor de mărfuri, iar limita neimpozabilă menţionată nu micşorează valoarea impozabilă a acestora. Pentru a beneficia de scutire, mostrele de mărfuri trebuie să fie de nefolosit prin rupere, perforare sau marcare clară şi permanentă sau prin alte procedee, cu condiţia ca această operaţiune să nu le distrugă caracterul de mostre. Scutirea de taxa vamală  nu se aplică produselor alcoolice de la poziţiile tarifare 220300, 2204, 2205, 220600, 2207, 2208, parfumurilor şi apelor de toaletă de la poziţia tarifară 330300, tutunului şi produselor pe bază de tutun de la poziţiile tarifare 2401, 2402, 2403;</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s) mărfurile importate cu scopul efectuării investiţiilor capitale în cadrul şi în condiţiile Acordului de investiţii "Cu privire la Portul Internaţional Liber "Giurgiuleşti"";</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t) produsele petroliere importate în cadrul şi în condiţiile Acordului de investiţii "Cu privire la Portul Internaţional Liber "Giurgiuleşti", destinate comercializării prin unităţile de comercializare a produselor petroliere stabilite în acordul menţionat;</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t</w:t>
      </w:r>
      <w:r w:rsidRPr="00BA39EF">
        <w:rPr>
          <w:rFonts w:ascii="Times New Roman" w:hAnsi="Times New Roman" w:cs="Times New Roman"/>
          <w:vertAlign w:val="superscript"/>
        </w:rPr>
        <w:t>1</w:t>
      </w:r>
      <w:r w:rsidRPr="00BA39EF">
        <w:rPr>
          <w:rFonts w:ascii="Times New Roman" w:hAnsi="Times New Roman" w:cs="Times New Roman"/>
        </w:rPr>
        <w:t>) mărfurile, utilajele, echipamentele și mobilierul destinate reparaţiei clădirii Parlamentului de pe bulevardul Ştefan cel Mare şi Sfînt nr. 105, municipiul Chişinău, pentru anul 2018;</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v) bunurile mobile a căror valoare depăşeşte 6000 de lei şi a căror durată de funcţionare este mai mare de un an, importate de către întreprinderile ce desfăşoară activitatea de leasing, în scopul onorării obligaţiilor contractuale ale acestora, rezultate din contractele de leasing încheiate cu persoane fizice sau juridice din Republica Moldova;</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w) importul grupurilor electrogene pentru energia eoliană de la poziţia tarifară ex.8502 31 000 cu capacitatea generatorului electric mai mare de 1 MW, în perioada de pînă la 31 decembrie 2015;</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x) mărfurile consumabile importate de forţa militară străină care desfăşoară aplicaţii militare temporare, destinate uzului sau consumului exclusiv al forţei militare şi al componentei civile. Lista mărfurilor consumabile se aprobă de către Ministerul Apărării al Republicii Moldova;</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x</w:t>
      </w:r>
      <w:r w:rsidRPr="00BA39EF">
        <w:rPr>
          <w:rFonts w:ascii="Times New Roman" w:hAnsi="Times New Roman" w:cs="Times New Roman"/>
          <w:vertAlign w:val="superscript"/>
        </w:rPr>
        <w:t>1</w:t>
      </w:r>
      <w:r w:rsidRPr="00BA39EF">
        <w:rPr>
          <w:rFonts w:ascii="Times New Roman" w:hAnsi="Times New Roman" w:cs="Times New Roman"/>
        </w:rPr>
        <w:t>) mărfurile consumabile importate de echipele/modulele internaționale de intervenție care participă la exercițiile internaționale de management al consecințelor situațiilor excepționale ce se desfășoară pe teritoriul Republicii Moldova, destinate uzului sau consumului exclusiv al echipelor/modulelor internaționale de intervenție. Lista mărfurilor consumabile se aprobă de Ministerul Afacerilor Interne și se prezintă Serviciului Vamal;</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y) mărfurile importate clasificate la poziţia tarifară 8548 10;</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y</w:t>
      </w:r>
      <w:r w:rsidRPr="00BA39EF">
        <w:rPr>
          <w:rFonts w:ascii="Times New Roman" w:hAnsi="Times New Roman" w:cs="Times New Roman"/>
          <w:vertAlign w:val="superscript"/>
        </w:rPr>
        <w:t>1</w:t>
      </w:r>
      <w:r w:rsidRPr="00BA39EF">
        <w:rPr>
          <w:rFonts w:ascii="Times New Roman" w:hAnsi="Times New Roman" w:cs="Times New Roman"/>
        </w:rPr>
        <w:t>) aeronavele de la poziţia tarifară 8802 40 000, elicopterele de la poziţiile tarifare 880211000, 880212000, locomotivele de la poziţia tarifară 8601, 8602, vagoanele automotoare pentru calea ferată antrenate în transportul public de pasageri de la poziţia tarifară 8603, părţile acestora de la poziţiile tarifare 880310000 - 880330000 şi 8607;</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y</w:t>
      </w:r>
      <w:r w:rsidRPr="00BA39EF">
        <w:rPr>
          <w:rFonts w:ascii="Times New Roman" w:hAnsi="Times New Roman" w:cs="Times New Roman"/>
          <w:vertAlign w:val="superscript"/>
        </w:rPr>
        <w:t>2</w:t>
      </w:r>
      <w:r w:rsidRPr="00BA39EF">
        <w:rPr>
          <w:rFonts w:ascii="Times New Roman" w:hAnsi="Times New Roman" w:cs="Times New Roman"/>
        </w:rPr>
        <w:t>) generatoarele electrice de o putere de peste 75 kW, dar de maximum 375 kW de la poziția tarifară 850133000, părțile pentru grupurile electrogene de la poziția tarifară 850300990, aparatura pentru comutarea circuitelor electrice de la poziția tarifară 853690950;</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z) mijloacele de transport, indiferent de termenul lor de exploatare:</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 xml:space="preserve">1. importate şi livrate pentru transportarea persoanelor cu dizabilităţi ale aparatului locomotor în temeiul prevederilor art. 49 alin. (3) din Legea nr. 60/2012 privind incluziunea socială a persoanelor cu </w:t>
      </w:r>
      <w:r w:rsidRPr="00BA39EF">
        <w:rPr>
          <w:rFonts w:ascii="Times New Roman" w:hAnsi="Times New Roman" w:cs="Times New Roman"/>
        </w:rPr>
        <w:lastRenderedPageBreak/>
        <w:t>dizabilităţi, clasificate la poziţia tarifară 8703 (cu capacitatea cilindrică a motorului de pînă la 2500 cm3 inclusiv);</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2. importate şi livrate cu titlu gratuit (donaţie), destinate pentru:</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 scopuri  medicale, clasificate la pozițiile tarifare 8702 şi 8703;</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 stingerea incendiilor, clasificate la poziția tarifară 870530000;</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 xml:space="preserve">- curățarea străzilor, împrăştiat materiale, colectarea deșeurilor, clasificate la poziţia tarifară 8705. </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Pot beneficia de facilitatea fiscală și vamală respectivă atît beneficiarii, cu condiţia utilizării mijloacelor de transport menționate exclusiv în conformitate cu destinația lor finală, cît şi persoanele terţe care au importat aceste mijloace de transport către beneficiari.</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Beneficiarii şi persoanele terţe nu pot comercializa, dona, transmite prin moștenire sau orice altă formă de dare în posesie ori folosință, transmite în arendă, locaţiune, uzufruct, leasing operațional sau financiar mijloacele de transport menționate. În cazul în care aceste prevederi nu se respectă, sumele TVA, accizele, taxa vamală şi taxa pentru efectuarea procedurilor vamale se calculează şi se achită de către beneficiar sau de către persoana terţă, în funcție de cine a plasat aceste mijloace de transport sub regimul vamal de import, de valoarea în vamă a mijloacelor de transport şi/sau de capacitatea cilindrică a motorului la data importului.</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Prin derogare de la aceste prevederi, după expirarea termenului de 5 ani de la data beneficierii de scutirea respectivă, beneficiarilor din rîndul persoanelor cu dizabilităţi ale aparatului locomotor li se permite comercializarea mijloacelor de transport.</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Modul de introducere, de plasare sub regim vamal de import a mijloacelor de transport menționate şi de beneficiere de facilitatea fiscală respectivă se stabilește de către Guvern;</w:t>
      </w:r>
    </w:p>
    <w:p w:rsidR="00BA39EF" w:rsidRPr="00BA39EF" w:rsidRDefault="00BA39EF" w:rsidP="00BA39EF">
      <w:pPr>
        <w:jc w:val="both"/>
        <w:rPr>
          <w:rFonts w:ascii="Times New Roman" w:hAnsi="Times New Roman" w:cs="Times New Roman"/>
          <w:i/>
        </w:rPr>
      </w:pPr>
      <w:r w:rsidRPr="00BA39EF">
        <w:rPr>
          <w:rFonts w:ascii="Times New Roman" w:hAnsi="Times New Roman" w:cs="Times New Roman"/>
          <w:i/>
        </w:rPr>
        <w:t xml:space="preserve"> [Art.28 lit.z) modificată prin LP257 din 16.12.20, MO353-357/22.12.20 art.288; în vigoare 01.01.21]</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z</w:t>
      </w:r>
      <w:r w:rsidRPr="00BA39EF">
        <w:rPr>
          <w:rFonts w:ascii="Times New Roman" w:hAnsi="Times New Roman" w:cs="Times New Roman"/>
          <w:vertAlign w:val="superscript"/>
        </w:rPr>
        <w:t>1</w:t>
      </w:r>
      <w:r w:rsidRPr="00BA39EF">
        <w:rPr>
          <w:rFonts w:ascii="Times New Roman" w:hAnsi="Times New Roman" w:cs="Times New Roman"/>
        </w:rPr>
        <w:t>) materia primă medicamentoasă, materialele, articolele, ambalajul primar și secundar utilizate la prepararea și producerea medicamentelor, autorizate de Ministerul Sănătății, Muncii și Protecției Sociale, cu excepția alcoolului etilic, mijloacelor cosmetice, conform listei aprobate de Guvern;</w:t>
      </w:r>
    </w:p>
    <w:p w:rsidR="00BA39EF" w:rsidRPr="00BA39EF" w:rsidRDefault="00BA39EF" w:rsidP="00BA39EF">
      <w:pPr>
        <w:jc w:val="both"/>
        <w:rPr>
          <w:rFonts w:ascii="Times New Roman" w:hAnsi="Times New Roman" w:cs="Times New Roman"/>
        </w:rPr>
      </w:pPr>
      <w:r w:rsidRPr="00BA39EF">
        <w:rPr>
          <w:rFonts w:ascii="Times New Roman" w:hAnsi="Times New Roman" w:cs="Times New Roman"/>
        </w:rPr>
        <w:t>z</w:t>
      </w:r>
      <w:r w:rsidRPr="00BA39EF">
        <w:rPr>
          <w:rFonts w:ascii="Times New Roman" w:hAnsi="Times New Roman" w:cs="Times New Roman"/>
          <w:vertAlign w:val="superscript"/>
        </w:rPr>
        <w:t>2</w:t>
      </w:r>
      <w:r w:rsidRPr="00BA39EF">
        <w:rPr>
          <w:rFonts w:ascii="Times New Roman" w:hAnsi="Times New Roman" w:cs="Times New Roman"/>
        </w:rPr>
        <w:t>) dializoarele de la poziţia tarifară 842129;</w:t>
      </w:r>
    </w:p>
    <w:p w:rsidR="00175FDB" w:rsidRPr="00BA39EF" w:rsidRDefault="00BA39EF" w:rsidP="00BA39EF">
      <w:pPr>
        <w:jc w:val="both"/>
        <w:rPr>
          <w:rFonts w:ascii="Times New Roman" w:hAnsi="Times New Roman" w:cs="Times New Roman"/>
        </w:rPr>
      </w:pPr>
      <w:r w:rsidRPr="00BA39EF">
        <w:rPr>
          <w:rFonts w:ascii="Times New Roman" w:hAnsi="Times New Roman" w:cs="Times New Roman"/>
        </w:rPr>
        <w:t>z</w:t>
      </w:r>
      <w:r w:rsidRPr="00BA39EF">
        <w:rPr>
          <w:rFonts w:ascii="Times New Roman" w:hAnsi="Times New Roman" w:cs="Times New Roman"/>
          <w:vertAlign w:val="superscript"/>
        </w:rPr>
        <w:t>3</w:t>
      </w:r>
      <w:r w:rsidRPr="00BA39EF">
        <w:rPr>
          <w:rFonts w:ascii="Times New Roman" w:hAnsi="Times New Roman" w:cs="Times New Roman"/>
        </w:rPr>
        <w:t>) importul obiectelor de cult conform listei aprobate și modului stabilit de Guvern.</w:t>
      </w:r>
    </w:p>
    <w:sectPr w:rsidR="00175FDB" w:rsidRPr="00BA3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EF"/>
    <w:rsid w:val="00175FDB"/>
    <w:rsid w:val="004D25E9"/>
    <w:rsid w:val="00B70905"/>
    <w:rsid w:val="00BA3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2639</Words>
  <Characters>15043</Characters>
  <Application>Microsoft Office Word</Application>
  <DocSecurity>0</DocSecurity>
  <Lines>125</Lines>
  <Paragraphs>35</Paragraphs>
  <ScaleCrop>false</ScaleCrop>
  <Company>SPecialiST RePack</Company>
  <LinksUpToDate>false</LinksUpToDate>
  <CharactersWithSpaces>17647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2021-03-22T14:14:00Z</dcterms:created>
  <dcterms:modified xsi:type="dcterms:W3CDTF">2021-03-22T14:23:00Z</dcterms:modified>
</cp:coreProperties>
</file>